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jc w:val="center"/>
      </w:pPr>
      <w:r>
        <w:rPr>
          <w:rFonts w:ascii="Arial" w:cs="Arial" w:eastAsia="Arial" w:hAnsi="Arial"/>
          <w:b/>
          <w:bCs/>
          <w:color w:val="1856B8"/>
          <w:sz w:val="40"/>
          <w:szCs w:val="40"/>
        </w:rPr>
        <w:t xml:space="preserve">ANNULERINGS- EN RESTITUTIEBELEID</w:t>
      </w:r>
    </w:p>
    <w:p>
      <w:pPr>
        <w:spacing w:after="200"/>
        <w:jc w:val="center"/>
      </w:pPr>
      <w:r>
        <w:rPr>
          <w:rFonts w:ascii="Arial" w:cs="Arial" w:eastAsia="Arial" w:hAnsi="Arial"/>
          <w:color w:val="E86500"/>
          <w:sz w:val="28"/>
          <w:szCs w:val="28"/>
        </w:rPr>
        <w:t xml:space="preserve">CANCELLATION AND REFUND POLICY</w:t>
      </w:r>
    </w:p>
    <w:p>
      <w:pPr>
        <w:spacing w:after="400"/>
        <w:jc w:val="center"/>
      </w:pPr>
      <w:r>
        <w:rPr>
          <w:rFonts w:ascii="Arial" w:cs="Arial" w:eastAsia="Arial" w:hAnsi="Arial"/>
          <w:color w:val="666666"/>
          <w:sz w:val="24"/>
          <w:szCs w:val="24"/>
        </w:rPr>
        <w:t xml:space="preserve">HuurAll — Peer-to-Peer Rental Marketplace</w:t>
      </w:r>
    </w:p>
    <w:p>
      <w:pPr>
        <w:jc w:val="center"/>
      </w:pPr>
      <w:r>
        <w:rPr>
          <w:rFonts w:ascii="Arial" w:cs="Arial" w:eastAsia="Arial" w:hAnsi="Arial"/>
          <w:color w:val="999999"/>
          <w:sz w:val="20"/>
          <w:szCs w:val="20"/>
        </w:rPr>
        <w:t xml:space="preserve">Laatst bijgewerkt / Last Updated: [DATE]</w:t>
      </w:r>
    </w:p>
    <w:p>
      <w:r>
        <w:br w:type="page"/>
      </w:r>
    </w:p>
    <w:p>
      <w:pPr>
        <w:pStyle w:val="Heading1"/>
      </w:pPr>
      <w:r>
        <w:rPr>
          <w:rFonts w:ascii="Arial" w:cs="Arial" w:eastAsia="Arial" w:hAnsi="Arial"/>
        </w:rPr>
        <w:t xml:space="preserve">Inleiding / Introduction</w:t>
      </w:r>
    </w:p>
    <w:p>
      <w:pPr>
        <w:spacing w:after="120"/>
      </w:pPr>
      <w:r>
        <w:rPr>
          <w:rFonts w:ascii="Arial" w:cs="Arial" w:eastAsia="Arial" w:hAnsi="Arial"/>
          <w:sz w:val="20"/>
          <w:szCs w:val="20"/>
        </w:rPr>
        <w:t xml:space="preserve">Dit Annulerings- en Restitutiebeleid beschrijft de voorwaarden waaronder kiralama’s via het HuurAll-platform kunnen worden geannuleerd en wanneer er recht bestaat op restitutie. Dit beleid is een aanvulling op de Algemene Voorwaarden (Terms of Use) en de Huurovereenkomst.</w:t>
      </w:r>
    </w:p>
    <w:p>
      <w:pPr>
        <w:spacing w:after="120"/>
      </w:pPr>
      <w:r>
        <w:rPr>
          <w:rFonts w:ascii="Arial" w:cs="Arial" w:eastAsia="Arial" w:hAnsi="Arial"/>
          <w:sz w:val="20"/>
          <w:szCs w:val="20"/>
        </w:rPr>
        <w:t xml:space="preserve">HuurAll treedt op als bemiddelend platform. De uiteindelijke huurovereenkomst bestaat tussen de Verhuurder (Lender) en de Huurder (Renter). Dit beleid is van toepassing op alle kiralama’s die via het platform worden afgesloten.</w:t>
      </w:r>
    </w:p>
    <w:p>
      <w:pPr>
        <w:pStyle w:val="Heading1"/>
      </w:pPr>
      <w:r>
        <w:rPr>
          <w:rFonts w:ascii="Arial" w:cs="Arial" w:eastAsia="Arial" w:hAnsi="Arial"/>
        </w:rPr>
        <w:t xml:space="preserve">A. Annulering door de Huurder (Renter)</w:t>
      </w:r>
    </w:p>
    <w:p>
      <w:pPr>
        <w:pStyle w:val="Heading2"/>
      </w:pPr>
      <w:r>
        <w:rPr>
          <w:rFonts w:ascii="Arial" w:cs="Arial" w:eastAsia="Arial" w:hAnsi="Arial"/>
        </w:rPr>
        <w:t xml:space="preserve">A.1 Annulering vóór verzending</w:t>
      </w:r>
    </w:p>
    <w:p>
      <w:pPr>
        <w:spacing w:after="120"/>
      </w:pPr>
      <w:r>
        <w:rPr>
          <w:rFonts w:ascii="Arial" w:cs="Arial" w:eastAsia="Arial" w:hAnsi="Arial"/>
          <w:sz w:val="20"/>
          <w:szCs w:val="20"/>
        </w:rPr>
        <w:t xml:space="preserve">Nadat de betaling is bevestigd, kan de Huurder de kiralama annuleren volgens het volgende schema: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600"/>
        <w:gridCol w:w="3626"/>
      </w:tblGrid>
      <w:tr>
        <w:tc>
          <w:tcPr>
            <w:tcW w:type="dxa" w:w="28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Moment van annulering</w:t>
            </w:r>
          </w:p>
        </w:tc>
        <w:tc>
          <w:tcPr>
            <w:tcW w:type="dxa" w:w="26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Restitutie</w:t>
            </w:r>
          </w:p>
        </w:tc>
        <w:tc>
          <w:tcPr>
            <w:tcW w:type="dxa" w:w="3626"/>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Toelichting</w:t>
            </w:r>
          </w:p>
        </w:tc>
      </w:tr>
      <w:tr>
        <w:tc>
          <w:tcPr>
            <w:tcW w:type="dxa" w:w="28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b/>
                <w:bCs/>
                <w:sz w:val="18"/>
                <w:szCs w:val="18"/>
              </w:rPr>
              <w:t xml:space="preserve">Binnen 1 uur na betaling</w:t>
            </w:r>
          </w:p>
        </w:tc>
        <w:tc>
          <w:tcPr>
            <w:tcW w:type="dxa" w:w="26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center"/>
            </w:pPr>
            <w:r>
              <w:rPr>
                <w:rFonts w:ascii="Arial" w:cs="Arial" w:eastAsia="Arial" w:hAnsi="Arial"/>
                <w:b/>
                <w:bCs/>
                <w:color w:val="2E7D32"/>
                <w:sz w:val="18"/>
                <w:szCs w:val="18"/>
              </w:rPr>
              <w:t xml:space="preserve">100% restitutie</w:t>
            </w:r>
          </w:p>
        </w:tc>
        <w:tc>
          <w:tcPr>
            <w:tcW w:type="dxa" w:w="3626"/>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Volledige terugbetaling. De Verhuurder wordt geïnformeerd dat de boeking is geannuleerd.</w:t>
            </w:r>
          </w:p>
        </w:tc>
      </w:tr>
      <w:tr>
        <w:tc>
          <w:tcPr>
            <w:tcW w:type="dxa" w:w="2800"/>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left"/>
            </w:pPr>
            <w:r>
              <w:rPr>
                <w:rFonts w:ascii="Arial" w:cs="Arial" w:eastAsia="Arial" w:hAnsi="Arial"/>
                <w:b/>
                <w:bCs/>
                <w:sz w:val="18"/>
                <w:szCs w:val="18"/>
              </w:rPr>
              <w:t xml:space="preserve">Tussen 1 en 2 uur na betaling</w:t>
            </w:r>
          </w:p>
        </w:tc>
        <w:tc>
          <w:tcPr>
            <w:tcW w:type="dxa" w:w="2600"/>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center"/>
            </w:pPr>
            <w:r>
              <w:rPr>
                <w:rFonts w:ascii="Arial" w:cs="Arial" w:eastAsia="Arial" w:hAnsi="Arial"/>
                <w:b/>
                <w:bCs/>
                <w:color w:val="E65100"/>
                <w:sz w:val="18"/>
                <w:szCs w:val="18"/>
              </w:rPr>
              <w:t xml:space="preserve">50% restitutie</w:t>
            </w:r>
          </w:p>
        </w:tc>
        <w:tc>
          <w:tcPr>
            <w:tcW w:type="dxa" w:w="3626"/>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left"/>
            </w:pPr>
            <w:r>
              <w:rPr>
                <w:rFonts w:ascii="Arial" w:cs="Arial" w:eastAsia="Arial" w:hAnsi="Arial"/>
                <w:sz w:val="18"/>
                <w:szCs w:val="18"/>
              </w:rPr>
              <w:t xml:space="preserve">De helft van het huurbedrag wordt terugbetaald. De overige 50% wordt aan de Verhuurder uitbetaald als compensatie.</w:t>
            </w:r>
          </w:p>
        </w:tc>
      </w:tr>
      <w:tr>
        <w:tc>
          <w:tcPr>
            <w:tcW w:type="dxa" w:w="2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b/>
                <w:bCs/>
                <w:sz w:val="18"/>
                <w:szCs w:val="18"/>
              </w:rPr>
              <w:t xml:space="preserve">Na 2 uur na betaling</w:t>
            </w:r>
          </w:p>
        </w:tc>
        <w:tc>
          <w:tcPr>
            <w:tcW w:type="dxa" w:w="26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center"/>
            </w:pPr>
            <w:r>
              <w:rPr>
                <w:rFonts w:ascii="Arial" w:cs="Arial" w:eastAsia="Arial" w:hAnsi="Arial"/>
                <w:b/>
                <w:bCs/>
                <w:color w:val="C62828"/>
                <w:sz w:val="18"/>
                <w:szCs w:val="18"/>
              </w:rPr>
              <w:t xml:space="preserve">Geen restitutie</w:t>
            </w:r>
          </w:p>
        </w:tc>
        <w:tc>
          <w:tcPr>
            <w:tcW w:type="dxa" w:w="3626"/>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Het volledige huurbedrag blijft verschuldigd. Geen terugbetaling mogelijk.</w:t>
            </w:r>
          </w:p>
        </w:tc>
      </w:tr>
    </w:tbl>
    <w:p>
      <w:pPr>
        <w:spacing w:after="160"/>
      </w:pPr>
    </w:p>
    <w:p>
      <w:pPr>
        <w:spacing w:after="120"/>
      </w:pPr>
      <w:r>
        <w:rPr>
          <w:rFonts w:ascii="Arial" w:cs="Arial" w:eastAsia="Arial" w:hAnsi="Arial"/>
          <w:b/>
          <w:bCs/>
          <w:color w:val="E86500"/>
          <w:sz w:val="20"/>
          <w:szCs w:val="20"/>
        </w:rPr>
        <w:t xml:space="preserve">Let op: </w:t>
      </w:r>
      <w:r>
        <w:rPr>
          <w:rFonts w:ascii="Arial" w:cs="Arial" w:eastAsia="Arial" w:hAnsi="Arial"/>
          <w:sz w:val="20"/>
          <w:szCs w:val="20"/>
        </w:rPr>
        <w:t xml:space="preserve">Het annuleringstijdstip wordt bepaald op basis van het moment waarop de Huurder de annulering bevestigt via het platform. De klok begint te lopen op het moment dat de betaling succesvol is verwerkt door Stripe.</w:t>
      </w:r>
    </w:p>
    <w:p>
      <w:pPr>
        <w:spacing w:after="120"/>
      </w:pPr>
      <w:r>
        <w:rPr>
          <w:rFonts w:ascii="Arial" w:cs="Arial" w:eastAsia="Arial" w:hAnsi="Arial"/>
          <w:sz w:val="20"/>
          <w:szCs w:val="20"/>
        </w:rPr>
        <w:t xml:space="preserve">Restitutie wordt verwerkt via de oorspronkelijke betaalmethode. De verwerkingstijd bedraagt doorgaans 5–10 werkdagen, afhankelijk van de bank of betaalprovider van de Huurder.</w:t>
      </w:r>
    </w:p>
    <w:p>
      <w:pPr>
        <w:pStyle w:val="Heading2"/>
      </w:pPr>
      <w:r>
        <w:rPr>
          <w:rFonts w:ascii="Arial" w:cs="Arial" w:eastAsia="Arial" w:hAnsi="Arial"/>
        </w:rPr>
        <w:t xml:space="preserve">A.2 Annulering na verzending</w:t>
      </w:r>
    </w:p>
    <w:p>
      <w:pPr>
        <w:spacing w:after="120"/>
      </w:pPr>
      <w:r>
        <w:rPr>
          <w:rFonts w:ascii="Arial" w:cs="Arial" w:eastAsia="Arial" w:hAnsi="Arial"/>
          <w:sz w:val="20"/>
          <w:szCs w:val="20"/>
        </w:rPr>
        <w:t xml:space="preserve">Zodra de Verhuurder het item heeft verzonden en het trackingnummer heeft ingevoerd op het platform, is annulering door de Huurder niet meer mogelijk. Het volledige huurbedrag blijft verschuldigd.</w:t>
      </w:r>
    </w:p>
    <w:p>
      <w:pPr>
        <w:spacing w:after="120"/>
      </w:pPr>
      <w:r>
        <w:rPr>
          <w:rFonts w:ascii="Arial" w:cs="Arial" w:eastAsia="Arial" w:hAnsi="Arial"/>
          <w:sz w:val="20"/>
          <w:szCs w:val="20"/>
        </w:rPr>
        <w:t xml:space="preserve">Indien de Huurder het item weigert bij ontvangst, dient de Huurder het item op eigen kosten te retourneren aan de Verhuurder. Er vindt in dat geval geen restitutie van het huurbedrag plaats.</w:t>
      </w:r>
    </w:p>
    <w:p>
      <w:pPr>
        <w:pStyle w:val="Heading2"/>
      </w:pPr>
      <w:r>
        <w:rPr>
          <w:rFonts w:ascii="Arial" w:cs="Arial" w:eastAsia="Arial" w:hAnsi="Arial"/>
        </w:rPr>
        <w:t xml:space="preserve">A.3 Vroegtijdige teruggave tijdens huurperiode</w:t>
      </w:r>
    </w:p>
    <w:p>
      <w:pPr>
        <w:spacing w:after="120"/>
      </w:pPr>
      <w:r>
        <w:rPr>
          <w:rFonts w:ascii="Arial" w:cs="Arial" w:eastAsia="Arial" w:hAnsi="Arial"/>
          <w:sz w:val="20"/>
          <w:szCs w:val="20"/>
        </w:rPr>
        <w:t xml:space="preserve">De Huurder mag het item vóór het einde van de overeengekomen huurperiode retourneren. In dat geval vindt echter geen (gedeeltelijke) restitutie van het huurbedrag plaats. De volledige overeengekomen huurprijs blijft verschuldigd, ongeacht de werkelijke gebruiksduur. De retourverzendkosten zijn voor rekening van de Huurder.</w:t>
      </w:r>
    </w:p>
    <w:p>
      <w:pPr>
        <w:pStyle w:val="Heading1"/>
      </w:pPr>
      <w:r>
        <w:rPr>
          <w:rFonts w:ascii="Arial" w:cs="Arial" w:eastAsia="Arial" w:hAnsi="Arial"/>
        </w:rPr>
        <w:t xml:space="preserve">B. Annulering door de Verhuurder (Lender)</w:t>
      </w:r>
    </w:p>
    <w:p>
      <w:pPr>
        <w:pStyle w:val="Heading2"/>
      </w:pPr>
      <w:r>
        <w:rPr>
          <w:rFonts w:ascii="Arial" w:cs="Arial" w:eastAsia="Arial" w:hAnsi="Arial"/>
        </w:rPr>
        <w:t xml:space="preserve">B.1 Annulering vóór verzending</w:t>
      </w:r>
    </w:p>
    <w:p>
      <w:pPr>
        <w:spacing w:after="120"/>
      </w:pPr>
      <w:r>
        <w:rPr>
          <w:rFonts w:ascii="Arial" w:cs="Arial" w:eastAsia="Arial" w:hAnsi="Arial"/>
          <w:sz w:val="20"/>
          <w:szCs w:val="20"/>
        </w:rPr>
        <w:t xml:space="preserve">Indien de Verhuurder de kiralama annuleert vóór verzending van het item:</w:t>
      </w:r>
    </w:p>
    <w:p>
      <w:pPr>
        <w:pStyle w:val="ListParagraph"/>
        <w:numPr>
          <w:ilvl w:val="0"/>
          <w:numId w:val="2"/>
        </w:numPr>
        <w:spacing w:after="60"/>
      </w:pPr>
      <w:r>
        <w:rPr>
          <w:rFonts w:ascii="Arial" w:cs="Arial" w:eastAsia="Arial" w:hAnsi="Arial"/>
          <w:b/>
          <w:bCs/>
          <w:sz w:val="20"/>
          <w:szCs w:val="20"/>
        </w:rPr>
        <w:t xml:space="preserve">Volledige restitutie: </w:t>
      </w:r>
      <w:r>
        <w:rPr>
          <w:rFonts w:ascii="Arial" w:cs="Arial" w:eastAsia="Arial" w:hAnsi="Arial"/>
          <w:sz w:val="20"/>
          <w:szCs w:val="20"/>
        </w:rPr>
        <w:t xml:space="preserve">de Huurder ontvangt 100% van het betaalde huurbedrag terug.</w:t>
      </w:r>
    </w:p>
    <w:p>
      <w:pPr>
        <w:pStyle w:val="ListParagraph"/>
        <w:numPr>
          <w:ilvl w:val="0"/>
          <w:numId w:val="2"/>
        </w:numPr>
        <w:spacing w:after="60"/>
      </w:pPr>
      <w:r>
        <w:rPr>
          <w:rFonts w:ascii="Arial" w:cs="Arial" w:eastAsia="Arial" w:hAnsi="Arial"/>
          <w:b/>
          <w:bCs/>
          <w:sz w:val="20"/>
          <w:szCs w:val="20"/>
        </w:rPr>
        <w:t xml:space="preserve">Waarschuwingssysteem: </w:t>
      </w:r>
      <w:r>
        <w:rPr>
          <w:rFonts w:ascii="Arial" w:cs="Arial" w:eastAsia="Arial" w:hAnsi="Arial"/>
          <w:sz w:val="20"/>
          <w:szCs w:val="20"/>
        </w:rPr>
        <w:t xml:space="preserve">de annulering wordt geregistreerd op het account van de Verhuurder.</w:t>
      </w:r>
    </w:p>
    <w:p>
      <w:pPr>
        <w:spacing w:after="120"/>
      </w:pPr>
    </w:p>
    <w:p>
      <w:pPr>
        <w:spacing w:after="120"/>
      </w:pPr>
      <w:r>
        <w:rPr>
          <w:rFonts w:ascii="Arial" w:cs="Arial" w:eastAsia="Arial" w:hAnsi="Arial"/>
          <w:b/>
          <w:bCs/>
          <w:sz w:val="20"/>
          <w:szCs w:val="20"/>
        </w:rPr>
        <w:t xml:space="preserve">Sanctiebeleid bij herhaalde annulering door Verhuurder: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600"/>
        <w:gridCol w:w="3626"/>
      </w:tblGrid>
      <w:tr>
        <w:tc>
          <w:tcPr>
            <w:tcW w:type="dxa" w:w="28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Annulering</w:t>
            </w:r>
          </w:p>
        </w:tc>
        <w:tc>
          <w:tcPr>
            <w:tcW w:type="dxa" w:w="26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Gevolg</w:t>
            </w:r>
          </w:p>
        </w:tc>
        <w:tc>
          <w:tcPr>
            <w:tcW w:type="dxa" w:w="3626"/>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Toelichting</w:t>
            </w:r>
          </w:p>
        </w:tc>
      </w:tr>
      <w:tr>
        <w:tc>
          <w:tcPr>
            <w:tcW w:type="dxa" w:w="2800"/>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left"/>
            </w:pPr>
            <w:r>
              <w:rPr>
                <w:rFonts w:ascii="Arial" w:cs="Arial" w:eastAsia="Arial" w:hAnsi="Arial"/>
                <w:sz w:val="18"/>
                <w:szCs w:val="18"/>
              </w:rPr>
              <w:t xml:space="preserve">1e annulering</w:t>
            </w:r>
          </w:p>
        </w:tc>
        <w:tc>
          <w:tcPr>
            <w:tcW w:type="dxa" w:w="2600"/>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center"/>
            </w:pPr>
            <w:r>
              <w:rPr>
                <w:rFonts w:ascii="Arial" w:cs="Arial" w:eastAsia="Arial" w:hAnsi="Arial"/>
                <w:sz w:val="18"/>
                <w:szCs w:val="18"/>
              </w:rPr>
              <w:t xml:space="preserve">Waarschuwing</w:t>
            </w:r>
          </w:p>
        </w:tc>
        <w:tc>
          <w:tcPr>
            <w:tcW w:type="dxa" w:w="3626"/>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left"/>
            </w:pPr>
            <w:r>
              <w:rPr>
                <w:rFonts w:ascii="Arial" w:cs="Arial" w:eastAsia="Arial" w:hAnsi="Arial"/>
                <w:sz w:val="18"/>
                <w:szCs w:val="18"/>
              </w:rPr>
              <w:t xml:space="preserve">E-mailwaarschuwing. Herhaalde annuleringen hebben gevolgen.</w:t>
            </w:r>
          </w:p>
        </w:tc>
      </w:tr>
      <w:tr>
        <w:tc>
          <w:tcPr>
            <w:tcW w:type="dxa" w:w="2800"/>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left"/>
            </w:pPr>
            <w:r>
              <w:rPr>
                <w:rFonts w:ascii="Arial" w:cs="Arial" w:eastAsia="Arial" w:hAnsi="Arial"/>
                <w:sz w:val="18"/>
                <w:szCs w:val="18"/>
              </w:rPr>
              <w:t xml:space="preserve">2e annulering</w:t>
            </w:r>
          </w:p>
        </w:tc>
        <w:tc>
          <w:tcPr>
            <w:tcW w:type="dxa" w:w="2600"/>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center"/>
            </w:pPr>
            <w:r>
              <w:rPr>
                <w:rFonts w:ascii="Arial" w:cs="Arial" w:eastAsia="Arial" w:hAnsi="Arial"/>
                <w:sz w:val="18"/>
                <w:szCs w:val="18"/>
              </w:rPr>
              <w:t xml:space="preserve">Tweede waarschuwing</w:t>
            </w:r>
          </w:p>
        </w:tc>
        <w:tc>
          <w:tcPr>
            <w:tcW w:type="dxa" w:w="3626"/>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left"/>
            </w:pPr>
            <w:r>
              <w:rPr>
                <w:rFonts w:ascii="Arial" w:cs="Arial" w:eastAsia="Arial" w:hAnsi="Arial"/>
                <w:sz w:val="18"/>
                <w:szCs w:val="18"/>
              </w:rPr>
              <w:t xml:space="preserve">Profielnotificatie zichtbaar. Verhuurder wordt geadviseerd beschikbaarheid bij te werken.</w:t>
            </w:r>
          </w:p>
        </w:tc>
      </w:tr>
      <w:tr>
        <w:tc>
          <w:tcPr>
            <w:tcW w:type="dxa" w:w="2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3e annulering</w:t>
            </w:r>
          </w:p>
        </w:tc>
        <w:tc>
          <w:tcPr>
            <w:tcW w:type="dxa" w:w="26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center"/>
            </w:pPr>
            <w:r>
              <w:rPr>
                <w:rFonts w:ascii="Arial" w:cs="Arial" w:eastAsia="Arial" w:hAnsi="Arial"/>
                <w:b/>
                <w:bCs/>
                <w:color w:val="C62828"/>
                <w:sz w:val="18"/>
                <w:szCs w:val="18"/>
              </w:rPr>
              <w:t xml:space="preserve">Account geblokkeerd</w:t>
            </w:r>
          </w:p>
        </w:tc>
        <w:tc>
          <w:tcPr>
            <w:tcW w:type="dxa" w:w="3626"/>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Permanente blokkering van het verhuuraccount. Eventuele openstaande betalingen worden nog afgewikkeld.</w:t>
            </w:r>
          </w:p>
        </w:tc>
      </w:tr>
    </w:tbl>
    <w:p>
      <w:pPr>
        <w:spacing w:after="160"/>
      </w:pPr>
    </w:p>
    <w:p>
      <w:pPr>
        <w:spacing w:after="120"/>
      </w:pPr>
      <w:r>
        <w:rPr>
          <w:rFonts w:ascii="Arial" w:cs="Arial" w:eastAsia="Arial" w:hAnsi="Arial"/>
          <w:sz w:val="20"/>
          <w:szCs w:val="20"/>
        </w:rPr>
        <w:t xml:space="preserve">De annuleringsteller wordt per kalenderjaar geteld. Bij het begin van elk nieuw kalenderjaar wordt de teller gereset, tenzij het account al is geblokkeerd.</w:t>
      </w:r>
    </w:p>
    <w:p>
      <w:pPr>
        <w:pStyle w:val="Heading2"/>
      </w:pPr>
      <w:r>
        <w:rPr>
          <w:rFonts w:ascii="Arial" w:cs="Arial" w:eastAsia="Arial" w:hAnsi="Arial"/>
        </w:rPr>
        <w:t xml:space="preserve">B.2 Niet-levering</w:t>
      </w:r>
    </w:p>
    <w:p>
      <w:pPr>
        <w:spacing w:after="120"/>
      </w:pPr>
      <w:r>
        <w:rPr>
          <w:rFonts w:ascii="Arial" w:cs="Arial" w:eastAsia="Arial" w:hAnsi="Arial"/>
          <w:sz w:val="20"/>
          <w:szCs w:val="20"/>
        </w:rPr>
        <w:t xml:space="preserve">Indien de Verhuurder het item niet binnen de afgesproken termijn verzendt of overdraagt, en de Huurder dit kan aantonen, ontvangt de Huurder een volledige restitutie. De niet-levering telt als een annulering conform het bovenstaande sanctiebeleid.</w:t>
      </w:r>
    </w:p>
    <w:p>
      <w:pPr>
        <w:pStyle w:val="Heading1"/>
      </w:pPr>
      <w:r>
        <w:rPr>
          <w:rFonts w:ascii="Arial" w:cs="Arial" w:eastAsia="Arial" w:hAnsi="Arial"/>
        </w:rPr>
        <w:t xml:space="preserve">C. Restitutie bij schade of gebreken</w:t>
      </w:r>
    </w:p>
    <w:p>
      <w:pPr>
        <w:pStyle w:val="Heading2"/>
      </w:pPr>
      <w:r>
        <w:rPr>
          <w:rFonts w:ascii="Arial" w:cs="Arial" w:eastAsia="Arial" w:hAnsi="Arial"/>
        </w:rPr>
        <w:t xml:space="preserve">C.1 Item niet conform beschrijving</w:t>
      </w:r>
    </w:p>
    <w:p>
      <w:pPr>
        <w:spacing w:after="120"/>
      </w:pPr>
      <w:r>
        <w:rPr>
          <w:rFonts w:ascii="Arial" w:cs="Arial" w:eastAsia="Arial" w:hAnsi="Arial"/>
          <w:sz w:val="20"/>
          <w:szCs w:val="20"/>
        </w:rPr>
        <w:t xml:space="preserve">Indien het ontvangen item wezenlijk afwijkt van de beschrijving en/of foto’s in de advertentie, kan de Huurder:</w:t>
      </w:r>
    </w:p>
    <w:p>
      <w:pPr>
        <w:pStyle w:val="ListParagraph"/>
        <w:numPr>
          <w:ilvl w:val="0"/>
          <w:numId w:val="2"/>
        </w:numPr>
        <w:spacing w:after="60"/>
      </w:pPr>
      <w:r>
        <w:rPr>
          <w:rFonts w:ascii="Arial" w:cs="Arial" w:eastAsia="Arial" w:hAnsi="Arial"/>
          <w:b/>
          <w:bCs/>
          <w:sz w:val="20"/>
          <w:szCs w:val="20"/>
        </w:rPr>
        <w:t xml:space="preserve">Optie 1 — Volledige annulering: </w:t>
      </w:r>
      <w:r>
        <w:rPr>
          <w:rFonts w:ascii="Arial" w:cs="Arial" w:eastAsia="Arial" w:hAnsi="Arial"/>
          <w:sz w:val="20"/>
          <w:szCs w:val="20"/>
        </w:rPr>
        <w:t xml:space="preserve">het item retourneren op kosten van de Verhuurder en volledige restitutie van het huurbedrag ontvangen.</w:t>
      </w:r>
    </w:p>
    <w:p>
      <w:pPr>
        <w:pStyle w:val="ListParagraph"/>
        <w:numPr>
          <w:ilvl w:val="0"/>
          <w:numId w:val="2"/>
        </w:numPr>
        <w:spacing w:after="60"/>
      </w:pPr>
      <w:r>
        <w:rPr>
          <w:rFonts w:ascii="Arial" w:cs="Arial" w:eastAsia="Arial" w:hAnsi="Arial"/>
          <w:b/>
          <w:bCs/>
          <w:sz w:val="20"/>
          <w:szCs w:val="20"/>
        </w:rPr>
        <w:t xml:space="preserve">Optie 2 — Korting: </w:t>
      </w:r>
      <w:r>
        <w:rPr>
          <w:rFonts w:ascii="Arial" w:cs="Arial" w:eastAsia="Arial" w:hAnsi="Arial"/>
          <w:sz w:val="20"/>
          <w:szCs w:val="20"/>
        </w:rPr>
        <w:t xml:space="preserve">een korting op het huurbedrag aanvragen. De commissie wordt automatisch herberekend op basis van het nieuwe bedrag.</w:t>
      </w:r>
    </w:p>
    <w:p>
      <w:pPr>
        <w:pStyle w:val="ListParagraph"/>
        <w:numPr>
          <w:ilvl w:val="0"/>
          <w:numId w:val="2"/>
        </w:numPr>
        <w:spacing w:after="60"/>
      </w:pPr>
      <w:r>
        <w:rPr>
          <w:rFonts w:ascii="Arial" w:cs="Arial" w:eastAsia="Arial" w:hAnsi="Arial"/>
          <w:b/>
          <w:bCs/>
          <w:sz w:val="20"/>
          <w:szCs w:val="20"/>
        </w:rPr>
        <w:t xml:space="preserve">Optie 3 — Doorgaan: </w:t>
      </w:r>
      <w:r>
        <w:rPr>
          <w:rFonts w:ascii="Arial" w:cs="Arial" w:eastAsia="Arial" w:hAnsi="Arial"/>
          <w:sz w:val="20"/>
          <w:szCs w:val="20"/>
        </w:rPr>
        <w:t xml:space="preserve">het item toch gebruiken tegen de oorspronkelijke huurprijs.</w:t>
      </w:r>
    </w:p>
    <w:p>
      <w:pPr>
        <w:spacing w:after="120"/>
      </w:pPr>
    </w:p>
    <w:p>
      <w:pPr>
        <w:spacing w:after="120"/>
      </w:pPr>
      <w:r>
        <w:rPr>
          <w:rFonts w:ascii="Arial" w:cs="Arial" w:eastAsia="Arial" w:hAnsi="Arial"/>
          <w:sz w:val="20"/>
          <w:szCs w:val="20"/>
        </w:rPr>
        <w:t xml:space="preserve">De Huurder dient de afwijking binnen 24 uur na ontvangst te melden via de “Sorun Bildir” functie, inclusief foto- en/of videobewijs.</w:t>
      </w:r>
    </w:p>
    <w:p>
      <w:pPr>
        <w:pStyle w:val="Heading2"/>
      </w:pPr>
      <w:r>
        <w:rPr>
          <w:rFonts w:ascii="Arial" w:cs="Arial" w:eastAsia="Arial" w:hAnsi="Arial"/>
        </w:rPr>
        <w:t xml:space="preserve">C.2 Transportschade</w:t>
      </w:r>
    </w:p>
    <w:p>
      <w:pPr>
        <w:spacing w:after="120"/>
      </w:pPr>
      <w:r>
        <w:rPr>
          <w:rFonts w:ascii="Arial" w:cs="Arial" w:eastAsia="Arial" w:hAnsi="Arial"/>
          <w:sz w:val="20"/>
          <w:szCs w:val="20"/>
        </w:rPr>
        <w:t xml:space="preserve">Bij schade die aantoonbaar tijdens het transport is ontstaan:</w:t>
      </w:r>
    </w:p>
    <w:p>
      <w:pPr>
        <w:pStyle w:val="ListParagraph"/>
        <w:numPr>
          <w:ilvl w:val="0"/>
          <w:numId w:val="2"/>
        </w:numPr>
        <w:spacing w:after="60"/>
      </w:pPr>
      <w:r>
        <w:rPr>
          <w:rFonts w:ascii="Arial" w:cs="Arial" w:eastAsia="Arial" w:hAnsi="Arial"/>
          <w:sz w:val="20"/>
          <w:szCs w:val="20"/>
        </w:rPr>
        <w:t xml:space="preserve">Beide partijen dienen bewijs (foto/video) aan te leveren via het platform</w:t>
      </w:r>
    </w:p>
    <w:p>
      <w:pPr>
        <w:pStyle w:val="ListParagraph"/>
        <w:numPr>
          <w:ilvl w:val="0"/>
          <w:numId w:val="2"/>
        </w:numPr>
        <w:spacing w:after="60"/>
      </w:pPr>
      <w:r>
        <w:rPr>
          <w:rFonts w:ascii="Arial" w:cs="Arial" w:eastAsia="Arial" w:hAnsi="Arial"/>
          <w:sz w:val="20"/>
          <w:szCs w:val="20"/>
        </w:rPr>
        <w:t xml:space="preserve">Het HuurAll-mediatieteam beoordeelt het bewijs</w:t>
      </w:r>
    </w:p>
    <w:p>
      <w:pPr>
        <w:pStyle w:val="ListParagraph"/>
        <w:numPr>
          <w:ilvl w:val="0"/>
          <w:numId w:val="2"/>
        </w:numPr>
        <w:spacing w:after="60"/>
      </w:pPr>
      <w:r>
        <w:rPr>
          <w:rFonts w:ascii="Arial" w:cs="Arial" w:eastAsia="Arial" w:hAnsi="Arial"/>
          <w:sz w:val="20"/>
          <w:szCs w:val="20"/>
        </w:rPr>
        <w:t xml:space="preserve">Indien transportschade wordt vastgesteld: volledige restitutie aan de Huurder en compensatie aan de Verhuurder (gratis herplaatsingsrecht)</w:t>
      </w:r>
    </w:p>
    <w:p>
      <w:pPr>
        <w:pStyle w:val="ListParagraph"/>
        <w:numPr>
          <w:ilvl w:val="0"/>
          <w:numId w:val="2"/>
        </w:numPr>
        <w:spacing w:after="60"/>
      </w:pPr>
      <w:r>
        <w:rPr>
          <w:rFonts w:ascii="Arial" w:cs="Arial" w:eastAsia="Arial" w:hAnsi="Arial"/>
          <w:sz w:val="20"/>
          <w:szCs w:val="20"/>
        </w:rPr>
        <w:t xml:space="preserve">Indien de vervoerder aansprakelijk is, kan een claim bij de vervoerder worden ingediend</w:t>
      </w:r>
    </w:p>
    <w:p>
      <w:pPr>
        <w:pStyle w:val="Heading2"/>
      </w:pPr>
      <w:r>
        <w:rPr>
          <w:rFonts w:ascii="Arial" w:cs="Arial" w:eastAsia="Arial" w:hAnsi="Arial"/>
        </w:rPr>
        <w:t xml:space="preserve">C.3 Schade tijdens huurperiode</w:t>
      </w:r>
    </w:p>
    <w:p>
      <w:pPr>
        <w:spacing w:after="120"/>
      </w:pPr>
      <w:r>
        <w:rPr>
          <w:rFonts w:ascii="Arial" w:cs="Arial" w:eastAsia="Arial" w:hAnsi="Arial"/>
          <w:sz w:val="20"/>
          <w:szCs w:val="20"/>
        </w:rPr>
        <w:t xml:space="preserve">Indien het item tijdens de huurperiode schade oploopt door toedoen van de Huurder:</w:t>
      </w:r>
    </w:p>
    <w:p>
      <w:pPr>
        <w:pStyle w:val="ListParagraph"/>
        <w:numPr>
          <w:ilvl w:val="0"/>
          <w:numId w:val="2"/>
        </w:numPr>
        <w:spacing w:after="60"/>
      </w:pPr>
      <w:r>
        <w:rPr>
          <w:rFonts w:ascii="Arial" w:cs="Arial" w:eastAsia="Arial" w:hAnsi="Arial"/>
          <w:sz w:val="20"/>
          <w:szCs w:val="20"/>
        </w:rPr>
        <w:t xml:space="preserve">De Huurder is aansprakelijk voor reparatie- of vervangingskosten</w:t>
      </w:r>
    </w:p>
    <w:p>
      <w:pPr>
        <w:pStyle w:val="ListParagraph"/>
        <w:numPr>
          <w:ilvl w:val="0"/>
          <w:numId w:val="2"/>
        </w:numPr>
        <w:spacing w:after="60"/>
      </w:pPr>
      <w:r>
        <w:rPr>
          <w:rFonts w:ascii="Arial" w:cs="Arial" w:eastAsia="Arial" w:hAnsi="Arial"/>
          <w:sz w:val="20"/>
          <w:szCs w:val="20"/>
        </w:rPr>
        <w:t xml:space="preserve">Er vindt geen restitutie van het huurbedrag plaats</w:t>
      </w:r>
    </w:p>
    <w:p>
      <w:pPr>
        <w:pStyle w:val="ListParagraph"/>
        <w:numPr>
          <w:ilvl w:val="0"/>
          <w:numId w:val="2"/>
        </w:numPr>
        <w:spacing w:after="60"/>
      </w:pPr>
      <w:r>
        <w:rPr>
          <w:rFonts w:ascii="Arial" w:cs="Arial" w:eastAsia="Arial" w:hAnsi="Arial"/>
          <w:sz w:val="20"/>
          <w:szCs w:val="20"/>
        </w:rPr>
        <w:t xml:space="preserve">De Verhuurder meldt de schade via het platform met foto-/videobewijs</w:t>
      </w:r>
    </w:p>
    <w:p>
      <w:pPr>
        <w:pStyle w:val="ListParagraph"/>
        <w:numPr>
          <w:ilvl w:val="0"/>
          <w:numId w:val="2"/>
        </w:numPr>
        <w:spacing w:after="60"/>
      </w:pPr>
      <w:r>
        <w:rPr>
          <w:rFonts w:ascii="Arial" w:cs="Arial" w:eastAsia="Arial" w:hAnsi="Arial"/>
          <w:sz w:val="20"/>
          <w:szCs w:val="20"/>
        </w:rPr>
        <w:t xml:space="preserve">Het HuurAll-mediatieteam kan worden ingeschakeld indien partijen er niet uitkomen</w:t>
      </w:r>
    </w:p>
    <w:p>
      <w:pPr>
        <w:pStyle w:val="Heading1"/>
      </w:pPr>
      <w:r>
        <w:rPr>
          <w:rFonts w:ascii="Arial" w:cs="Arial" w:eastAsia="Arial" w:hAnsi="Arial"/>
        </w:rPr>
        <w:t xml:space="preserve">D. Overmacht (Force Majeure)</w:t>
      </w:r>
    </w:p>
    <w:p>
      <w:pPr>
        <w:spacing w:after="120"/>
      </w:pPr>
      <w:r>
        <w:rPr>
          <w:rFonts w:ascii="Arial" w:cs="Arial" w:eastAsia="Arial" w:hAnsi="Arial"/>
          <w:sz w:val="20"/>
          <w:szCs w:val="20"/>
        </w:rPr>
        <w:t xml:space="preserve">In geval van omstandigheden die redelijkerwijs niet voorzien of beheersbaar waren (overmacht), zoals natuurrampen, pandemieën, stakingen of overheidsmaatregelen, kunnen zowel de Huurder als de Verhuurder de kiralama annuleren. In dat geval ontvangt de Huurder een volledige restitutie en wordt de annulering niet meegeteld in het sanctiebeleid van de Verhuurder.</w:t>
      </w:r>
    </w:p>
    <w:p>
      <w:pPr>
        <w:pStyle w:val="Heading1"/>
      </w:pPr>
      <w:r>
        <w:rPr>
          <w:rFonts w:ascii="Arial" w:cs="Arial" w:eastAsia="Arial" w:hAnsi="Arial"/>
        </w:rPr>
        <w:t xml:space="preserve">E. Herroepingsrecht (Right of Withdrawal)</w:t>
      </w:r>
    </w:p>
    <w:p>
      <w:pPr>
        <w:spacing w:after="120"/>
      </w:pPr>
      <w:r>
        <w:rPr>
          <w:rFonts w:ascii="Arial" w:cs="Arial" w:eastAsia="Arial" w:hAnsi="Arial"/>
          <w:sz w:val="20"/>
          <w:szCs w:val="20"/>
        </w:rPr>
        <w:t xml:space="preserve">Op grond van de Europese richtlijn consumentenrechten (Richtlijn 2011/83/EU) en Artikel 6:230o van het Burgerlijk Wetboek hebben consumenten bij overeenkomsten op afstand een herroepingsrecht van 14 dagen.</w:t>
      </w:r>
    </w:p>
    <w:p>
      <w:pPr>
        <w:spacing w:after="120"/>
      </w:pPr>
      <w:r>
        <w:rPr>
          <w:rFonts w:ascii="Arial" w:cs="Arial" w:eastAsia="Arial" w:hAnsi="Arial"/>
          <w:b/>
          <w:bCs/>
          <w:color w:val="E86500"/>
          <w:sz w:val="20"/>
          <w:szCs w:val="20"/>
        </w:rPr>
        <w:t xml:space="preserve">Uitzondering: </w:t>
      </w:r>
      <w:r>
        <w:rPr>
          <w:rFonts w:ascii="Arial" w:cs="Arial" w:eastAsia="Arial" w:hAnsi="Arial"/>
          <w:sz w:val="20"/>
          <w:szCs w:val="20"/>
        </w:rPr>
        <w:t xml:space="preserve">Conform Artikel 6:230p, lid 1, sub c BW vervalt het herroepingsrecht wanneer de dienst volledig is uitgevoerd met de uitdrukkelijke voorafgaande instemming van de consument, en de consument heeft erkend dat hij het herroepingsrecht verliest zodra de overeenkomst volledig is nagekomen.</w:t>
      </w:r>
    </w:p>
    <w:p>
      <w:pPr>
        <w:spacing w:after="120"/>
      </w:pPr>
      <w:r>
        <w:rPr>
          <w:rFonts w:ascii="Arial" w:cs="Arial" w:eastAsia="Arial" w:hAnsi="Arial"/>
          <w:sz w:val="20"/>
          <w:szCs w:val="20"/>
        </w:rPr>
        <w:t xml:space="preserve">Door het bevestigen van een kiralama (klikken op “Hemen Kirala” of “Teklif Kabul” en voltooien van de betaling) verzoekt u uitdrukkelijk om onmiddellijke uitvoering van de dienst en erkent u dat u het herroepingsrecht verliest op het moment van bevestiging.</w:t>
      </w:r>
    </w:p>
    <w:p>
      <w:pPr>
        <w:spacing w:after="120"/>
      </w:pPr>
      <w:r>
        <w:rPr>
          <w:rFonts w:ascii="Arial" w:cs="Arial" w:eastAsia="Arial" w:hAnsi="Arial"/>
          <w:b/>
          <w:bCs/>
          <w:sz w:val="20"/>
          <w:szCs w:val="20"/>
        </w:rPr>
        <w:t xml:space="preserve">Dit herroepingsrecht staat los van het annuleringsbeleid in Sectie A. </w:t>
      </w:r>
      <w:r>
        <w:rPr>
          <w:rFonts w:ascii="Arial" w:cs="Arial" w:eastAsia="Arial" w:hAnsi="Arial"/>
          <w:sz w:val="20"/>
          <w:szCs w:val="20"/>
        </w:rPr>
        <w:t xml:space="preserve">Het annuleringsbeleid (1 uur = 100%, 2 uur = 50%) is een aanvullende service van HuurAll en gaat verder dan de wettelijke minimumvereisten.</w:t>
      </w:r>
    </w:p>
    <w:p>
      <w:pPr>
        <w:pStyle w:val="Heading1"/>
      </w:pPr>
      <w:r>
        <w:rPr>
          <w:rFonts w:ascii="Arial" w:cs="Arial" w:eastAsia="Arial" w:hAnsi="Arial"/>
        </w:rPr>
        <w:t xml:space="preserve">F. Verwerking van restituties</w:t>
      </w:r>
    </w:p>
    <w:p>
      <w:pPr>
        <w:spacing w:after="120"/>
      </w:pPr>
      <w:r>
        <w:rPr>
          <w:rFonts w:ascii="Arial" w:cs="Arial" w:eastAsia="Arial" w:hAnsi="Arial"/>
          <w:sz w:val="20"/>
          <w:szCs w:val="20"/>
        </w:rPr>
        <w:t xml:space="preserve">Alle restituties worden verwerkt via Stripe, de betaalpartner van HuurAll. De volgende verwerkingstijden zijn van toepassing: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Betaalmethode</w:t>
            </w:r>
          </w:p>
        </w:tc>
        <w:tc>
          <w:tcPr>
            <w:tcW w:type="dxa" w:w="3013"/>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Verwerkingstijd</w:t>
            </w:r>
          </w:p>
        </w:tc>
        <w:tc>
          <w:tcPr>
            <w:tcW w:type="dxa" w:w="3013"/>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Opmerking</w:t>
            </w:r>
          </w:p>
        </w:tc>
      </w:tr>
      <w:tr>
        <w:tc>
          <w:tcPr>
            <w:tcW w:type="dxa" w:w="3000"/>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left"/>
            </w:pPr>
            <w:r>
              <w:rPr>
                <w:rFonts w:ascii="Arial" w:cs="Arial" w:eastAsia="Arial" w:hAnsi="Arial"/>
                <w:sz w:val="18"/>
                <w:szCs w:val="18"/>
              </w:rPr>
              <w:t xml:space="preserve">iDEAL</w:t>
            </w:r>
          </w:p>
        </w:tc>
        <w:tc>
          <w:tcPr>
            <w:tcW w:type="dxa" w:w="3013"/>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center"/>
            </w:pPr>
            <w:r>
              <w:rPr>
                <w:rFonts w:ascii="Arial" w:cs="Arial" w:eastAsia="Arial" w:hAnsi="Arial"/>
                <w:sz w:val="18"/>
                <w:szCs w:val="18"/>
              </w:rPr>
              <w:t xml:space="preserve">5–10 werkdagen</w:t>
            </w:r>
          </w:p>
        </w:tc>
        <w:tc>
          <w:tcPr>
            <w:tcW w:type="dxa" w:w="3013"/>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left"/>
            </w:pPr>
            <w:r>
              <w:rPr>
                <w:rFonts w:ascii="Arial" w:cs="Arial" w:eastAsia="Arial" w:hAnsi="Arial"/>
                <w:sz w:val="18"/>
                <w:szCs w:val="18"/>
              </w:rPr>
              <w:t xml:space="preserve">Terugboeking naar bankrekening</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Arial" w:cs="Arial" w:eastAsia="Arial" w:hAnsi="Arial"/>
                <w:sz w:val="18"/>
                <w:szCs w:val="18"/>
              </w:rPr>
              <w:t xml:space="preserve">Creditcard / Debitcard</w:t>
            </w:r>
          </w:p>
        </w:tc>
        <w:tc>
          <w:tcPr>
            <w:tcW w:type="dxa" w:w="3013"/>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5–10 werkdagen</w:t>
            </w:r>
          </w:p>
        </w:tc>
        <w:tc>
          <w:tcPr>
            <w:tcW w:type="dxa" w:w="3013"/>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Arial" w:cs="Arial" w:eastAsia="Arial" w:hAnsi="Arial"/>
                <w:sz w:val="18"/>
                <w:szCs w:val="18"/>
              </w:rPr>
              <w:t xml:space="preserve">Terugboeking op de volgende afrekening</w:t>
            </w:r>
          </w:p>
        </w:tc>
      </w:tr>
      <w:tr>
        <w:tc>
          <w:tcPr>
            <w:tcW w:type="dxa" w:w="3000"/>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left"/>
            </w:pPr>
            <w:r>
              <w:rPr>
                <w:rFonts w:ascii="Arial" w:cs="Arial" w:eastAsia="Arial" w:hAnsi="Arial"/>
                <w:sz w:val="18"/>
                <w:szCs w:val="18"/>
              </w:rPr>
              <w:t xml:space="preserve">Bancontact</w:t>
            </w:r>
          </w:p>
        </w:tc>
        <w:tc>
          <w:tcPr>
            <w:tcW w:type="dxa" w:w="3013"/>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center"/>
            </w:pPr>
            <w:r>
              <w:rPr>
                <w:rFonts w:ascii="Arial" w:cs="Arial" w:eastAsia="Arial" w:hAnsi="Arial"/>
                <w:sz w:val="18"/>
                <w:szCs w:val="18"/>
              </w:rPr>
              <w:t xml:space="preserve">5–10 werkdagen</w:t>
            </w:r>
          </w:p>
        </w:tc>
        <w:tc>
          <w:tcPr>
            <w:tcW w:type="dxa" w:w="3013"/>
            <w:tcBorders>
              <w:top w:val="single" w:color="CCCCCC" w:sz="1"/>
              <w:left w:val="single" w:color="CCCCCC" w:sz="1"/>
              <w:bottom w:val="single" w:color="CCCCCC" w:sz="1"/>
              <w:right w:val="single" w:color="CCCCCC" w:sz="1"/>
            </w:tcBorders>
            <w:shd w:fill="F5F8FC" w:val="clear"/>
            <w:tcMar>
              <w:top w:type="dxa" w:w="60"/>
              <w:left w:type="dxa" w:w="100"/>
              <w:bottom w:type="dxa" w:w="60"/>
              <w:right w:type="dxa" w:w="100"/>
            </w:tcMar>
          </w:tcPr>
          <w:p>
            <w:pPr>
              <w:jc w:val="left"/>
            </w:pPr>
            <w:r>
              <w:rPr>
                <w:rFonts w:ascii="Arial" w:cs="Arial" w:eastAsia="Arial" w:hAnsi="Arial"/>
                <w:sz w:val="18"/>
                <w:szCs w:val="18"/>
              </w:rPr>
              <w:t xml:space="preserve">Terugboeking naar bankrekening</w:t>
            </w:r>
          </w:p>
        </w:tc>
      </w:tr>
    </w:tbl>
    <w:p>
      <w:pPr>
        <w:spacing w:after="160"/>
      </w:pPr>
    </w:p>
    <w:p>
      <w:pPr>
        <w:spacing w:after="120"/>
      </w:pPr>
      <w:r>
        <w:rPr>
          <w:rFonts w:ascii="Arial" w:cs="Arial" w:eastAsia="Arial" w:hAnsi="Arial"/>
          <w:sz w:val="20"/>
          <w:szCs w:val="20"/>
        </w:rPr>
        <w:t xml:space="preserve">Restitutie geschiedt altijd via de oorspronkelijke betaalmethode. HuurAll brengt geen kosten in rekening voor restitutie. Eventuele kosten van de bank of betaalprovider zijn voor rekening van de gebruiker.</w:t>
      </w:r>
    </w:p>
    <w:p>
      <w:pPr>
        <w:pStyle w:val="Heading1"/>
      </w:pPr>
      <w:r>
        <w:rPr>
          <w:rFonts w:ascii="Arial" w:cs="Arial" w:eastAsia="Arial" w:hAnsi="Arial"/>
        </w:rPr>
        <w:t xml:space="preserve">G. Chargebacks</w:t>
      </w:r>
    </w:p>
    <w:p>
      <w:pPr>
        <w:spacing w:after="120"/>
      </w:pPr>
      <w:r>
        <w:rPr>
          <w:rFonts w:ascii="Arial" w:cs="Arial" w:eastAsia="Arial" w:hAnsi="Arial"/>
          <w:sz w:val="20"/>
          <w:szCs w:val="20"/>
        </w:rPr>
        <w:t xml:space="preserve">Gebruikers dienen geen chargebacks (terugboekingen) te initiëren bij hun bank zonder geldige juridische grondslag. Indien een chargeback wordt geïnitieerd terwijl er een geldig annulerings- of geschillenproces via het platform loopt, kan dit leiden tot schorsing of beëindiging van het account. HuurAll kan Stripe voorzien van relevante informatie om ongegronde chargebacks te betwisten.</w:t>
      </w:r>
    </w:p>
    <w:p>
      <w:pPr>
        <w:pStyle w:val="Heading1"/>
      </w:pPr>
      <w:r>
        <w:rPr>
          <w:rFonts w:ascii="Arial" w:cs="Arial" w:eastAsia="Arial" w:hAnsi="Arial"/>
        </w:rPr>
        <w:t xml:space="preserve">H. Geschillen over restitutie</w:t>
      </w:r>
    </w:p>
    <w:p>
      <w:pPr>
        <w:spacing w:after="120"/>
      </w:pPr>
      <w:r>
        <w:rPr>
          <w:rFonts w:ascii="Arial" w:cs="Arial" w:eastAsia="Arial" w:hAnsi="Arial"/>
          <w:sz w:val="20"/>
          <w:szCs w:val="20"/>
        </w:rPr>
        <w:t xml:space="preserve">Indien u het niet eens bent met een restitutiebeslissing:</w:t>
      </w:r>
    </w:p>
    <w:p>
      <w:pPr>
        <w:pStyle w:val="ListParagraph"/>
        <w:numPr>
          <w:ilvl w:val="0"/>
          <w:numId w:val="2"/>
        </w:numPr>
        <w:spacing w:after="60"/>
      </w:pPr>
      <w:r>
        <w:rPr>
          <w:rFonts w:ascii="Arial" w:cs="Arial" w:eastAsia="Arial" w:hAnsi="Arial"/>
          <w:sz w:val="20"/>
          <w:szCs w:val="20"/>
        </w:rPr>
        <w:t xml:space="preserve">Neem eerst contact op met de andere partij via het berichtensysteem</w:t>
      </w:r>
    </w:p>
    <w:p>
      <w:pPr>
        <w:pStyle w:val="ListParagraph"/>
        <w:numPr>
          <w:ilvl w:val="0"/>
          <w:numId w:val="2"/>
        </w:numPr>
        <w:spacing w:after="60"/>
      </w:pPr>
      <w:r>
        <w:rPr>
          <w:rFonts w:ascii="Arial" w:cs="Arial" w:eastAsia="Arial" w:hAnsi="Arial"/>
          <w:sz w:val="20"/>
          <w:szCs w:val="20"/>
        </w:rPr>
        <w:t xml:space="preserve">Indien u er samen niet uitkomt, vraag Platform Mediation aan via de “Sorun Bildir” functie</w:t>
      </w:r>
    </w:p>
    <w:p>
      <w:pPr>
        <w:pStyle w:val="ListParagraph"/>
        <w:numPr>
          <w:ilvl w:val="0"/>
          <w:numId w:val="2"/>
        </w:numPr>
        <w:spacing w:after="60"/>
      </w:pPr>
      <w:r>
        <w:rPr>
          <w:rFonts w:ascii="Arial" w:cs="Arial" w:eastAsia="Arial" w:hAnsi="Arial"/>
          <w:sz w:val="20"/>
          <w:szCs w:val="20"/>
        </w:rPr>
        <w:t xml:space="preserve">Het HuurAll-mediatieteam doet een uitspraak binnen 5 werkdagen</w:t>
      </w:r>
    </w:p>
    <w:p>
      <w:pPr>
        <w:pStyle w:val="ListParagraph"/>
        <w:numPr>
          <w:ilvl w:val="0"/>
          <w:numId w:val="2"/>
        </w:numPr>
        <w:spacing w:after="60"/>
      </w:pPr>
      <w:r>
        <w:rPr>
          <w:rFonts w:ascii="Arial" w:cs="Arial" w:eastAsia="Arial" w:hAnsi="Arial"/>
          <w:sz w:val="20"/>
          <w:szCs w:val="20"/>
        </w:rPr>
        <w:t xml:space="preserve">Elke partij heeft éénmaal recht op beroep</w:t>
      </w:r>
    </w:p>
    <w:p>
      <w:pPr>
        <w:pStyle w:val="ListParagraph"/>
        <w:numPr>
          <w:ilvl w:val="0"/>
          <w:numId w:val="2"/>
        </w:numPr>
        <w:spacing w:after="60"/>
      </w:pPr>
      <w:r>
        <w:rPr>
          <w:rFonts w:ascii="Arial" w:cs="Arial" w:eastAsia="Arial" w:hAnsi="Arial"/>
          <w:sz w:val="20"/>
          <w:szCs w:val="20"/>
        </w:rPr>
        <w:t xml:space="preserve">Blijft het geschil onopgelost, dan kunt u zich wenden tot de Geschillencommissie of de bevoegde rechter te Amsterdam</w:t>
      </w:r>
    </w:p>
    <w:p>
      <w:pPr>
        <w:pStyle w:val="ListParagraph"/>
        <w:numPr>
          <w:ilvl w:val="0"/>
          <w:numId w:val="2"/>
        </w:numPr>
        <w:spacing w:after="60"/>
      </w:pPr>
      <w:r>
        <w:rPr>
          <w:rFonts w:ascii="Arial" w:cs="Arial" w:eastAsia="Arial" w:hAnsi="Arial"/>
          <w:sz w:val="20"/>
          <w:szCs w:val="20"/>
        </w:rPr>
        <w:t xml:space="preserve">Consumenten kunnen ook gebruik maken van het EU ODR-platform: https://ec.europa.eu/consumers/odr/</w:t>
      </w:r>
    </w:p>
    <w:p>
      <w:pPr>
        <w:pStyle w:val="Heading1"/>
      </w:pPr>
      <w:r>
        <w:rPr>
          <w:rFonts w:ascii="Arial" w:cs="Arial" w:eastAsia="Arial" w:hAnsi="Arial"/>
        </w:rPr>
        <w:t xml:space="preserve">I. Overzichtstabel / Summary Table</w:t>
      </w:r>
    </w:p>
    <w:p>
      <w:pPr>
        <w:spacing w:after="120"/>
      </w:pPr>
      <w:r>
        <w:rPr>
          <w:rFonts w:ascii="Arial" w:cs="Arial" w:eastAsia="Arial" w:hAnsi="Arial"/>
          <w:sz w:val="20"/>
          <w:szCs w:val="20"/>
        </w:rPr>
        <w:t xml:space="preserve">Onderstaande tabel vat alle annulerings- en restitutiescenario’s samen: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426"/>
      </w:tblGrid>
      <w:tr>
        <w:tc>
          <w:tcPr>
            <w:tcW w:type="dxa" w:w="32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Scenario</w:t>
            </w:r>
          </w:p>
        </w:tc>
        <w:tc>
          <w:tcPr>
            <w:tcW w:type="dxa" w:w="2400"/>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Restitutie</w:t>
            </w:r>
          </w:p>
        </w:tc>
        <w:tc>
          <w:tcPr>
            <w:tcW w:type="dxa" w:w="3426"/>
            <w:tcBorders>
              <w:top w:val="single" w:color="CCCCCC" w:sz="1"/>
              <w:left w:val="single" w:color="CCCCCC" w:sz="1"/>
              <w:bottom w:val="single" w:color="CCCCCC" w:sz="1"/>
              <w:right w:val="single" w:color="CCCCCC" w:sz="1"/>
            </w:tcBorders>
            <w:shd w:fill="1856B8"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Opmerking</w:t>
            </w:r>
          </w:p>
        </w:tc>
      </w:tr>
      <w:tr>
        <w:tc>
          <w:tcPr>
            <w:tcW w:type="dxa" w:w="3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Huurder annuleert binnen 1 uur</w:t>
            </w:r>
          </w:p>
        </w:tc>
        <w:tc>
          <w:tcPr>
            <w:tcW w:type="dxa" w:w="24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center"/>
            </w:pPr>
            <w:r>
              <w:rPr>
                <w:rFonts w:ascii="Arial" w:cs="Arial" w:eastAsia="Arial" w:hAnsi="Arial"/>
                <w:b/>
                <w:bCs/>
                <w:sz w:val="18"/>
                <w:szCs w:val="18"/>
              </w:rPr>
              <w:t xml:space="preserve">100%</w:t>
            </w:r>
          </w:p>
        </w:tc>
        <w:tc>
          <w:tcPr>
            <w:tcW w:type="dxa" w:w="3426"/>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Volledige terugbetaling</w:t>
            </w:r>
          </w:p>
        </w:tc>
      </w:tr>
      <w:tr>
        <w:tc>
          <w:tcPr>
            <w:tcW w:type="dxa" w:w="3200"/>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left"/>
            </w:pPr>
            <w:r>
              <w:rPr>
                <w:rFonts w:ascii="Arial" w:cs="Arial" w:eastAsia="Arial" w:hAnsi="Arial"/>
                <w:sz w:val="18"/>
                <w:szCs w:val="18"/>
              </w:rPr>
              <w:t xml:space="preserve">Huurder annuleert 1–2 uur</w:t>
            </w:r>
          </w:p>
        </w:tc>
        <w:tc>
          <w:tcPr>
            <w:tcW w:type="dxa" w:w="2400"/>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center"/>
            </w:pPr>
            <w:r>
              <w:rPr>
                <w:rFonts w:ascii="Arial" w:cs="Arial" w:eastAsia="Arial" w:hAnsi="Arial"/>
                <w:b/>
                <w:bCs/>
                <w:sz w:val="18"/>
                <w:szCs w:val="18"/>
              </w:rPr>
              <w:t xml:space="preserve">50%</w:t>
            </w:r>
          </w:p>
        </w:tc>
        <w:tc>
          <w:tcPr>
            <w:tcW w:type="dxa" w:w="3426"/>
            <w:tcBorders>
              <w:top w:val="single" w:color="CCCCCC" w:sz="1"/>
              <w:left w:val="single" w:color="CCCCCC" w:sz="1"/>
              <w:bottom w:val="single" w:color="CCCCCC" w:sz="1"/>
              <w:right w:val="single" w:color="CCCCCC" w:sz="1"/>
            </w:tcBorders>
            <w:shd w:fill="FFF3E6" w:val="clear"/>
            <w:tcMar>
              <w:top w:type="dxa" w:w="60"/>
              <w:left w:type="dxa" w:w="100"/>
              <w:bottom w:type="dxa" w:w="60"/>
              <w:right w:type="dxa" w:w="100"/>
            </w:tcMar>
          </w:tcPr>
          <w:p>
            <w:pPr>
              <w:jc w:val="left"/>
            </w:pPr>
            <w:r>
              <w:rPr>
                <w:rFonts w:ascii="Arial" w:cs="Arial" w:eastAsia="Arial" w:hAnsi="Arial"/>
                <w:sz w:val="18"/>
                <w:szCs w:val="18"/>
              </w:rPr>
              <w:t xml:space="preserve">50% compensatie aan Verhuurder</w:t>
            </w:r>
          </w:p>
        </w:tc>
      </w:tr>
      <w:tr>
        <w:tc>
          <w:tcPr>
            <w:tcW w:type="dxa" w:w="32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Huurder annuleert na 2 uur</w:t>
            </w:r>
          </w:p>
        </w:tc>
        <w:tc>
          <w:tcPr>
            <w:tcW w:type="dxa" w:w="24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center"/>
            </w:pPr>
            <w:r>
              <w:rPr>
                <w:rFonts w:ascii="Arial" w:cs="Arial" w:eastAsia="Arial" w:hAnsi="Arial"/>
                <w:b/>
                <w:bCs/>
                <w:sz w:val="18"/>
                <w:szCs w:val="18"/>
              </w:rPr>
              <w:t xml:space="preserve">0%</w:t>
            </w:r>
          </w:p>
        </w:tc>
        <w:tc>
          <w:tcPr>
            <w:tcW w:type="dxa" w:w="3426"/>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Geen restitutie mogelijk</w:t>
            </w:r>
          </w:p>
        </w:tc>
      </w:tr>
      <w:tr>
        <w:tc>
          <w:tcPr>
            <w:tcW w:type="dxa" w:w="32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Huurder annuleert na verzending</w:t>
            </w:r>
          </w:p>
        </w:tc>
        <w:tc>
          <w:tcPr>
            <w:tcW w:type="dxa" w:w="24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center"/>
            </w:pPr>
            <w:r>
              <w:rPr>
                <w:rFonts w:ascii="Arial" w:cs="Arial" w:eastAsia="Arial" w:hAnsi="Arial"/>
                <w:b/>
                <w:bCs/>
                <w:sz w:val="18"/>
                <w:szCs w:val="18"/>
              </w:rPr>
              <w:t xml:space="preserve">0%</w:t>
            </w:r>
          </w:p>
        </w:tc>
        <w:tc>
          <w:tcPr>
            <w:tcW w:type="dxa" w:w="3426"/>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Item retour op kosten Huurder</w:t>
            </w:r>
          </w:p>
        </w:tc>
      </w:tr>
      <w:tr>
        <w:tc>
          <w:tcPr>
            <w:tcW w:type="dxa" w:w="32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Vroegtijdige teruggave</w:t>
            </w:r>
          </w:p>
        </w:tc>
        <w:tc>
          <w:tcPr>
            <w:tcW w:type="dxa" w:w="24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center"/>
            </w:pPr>
            <w:r>
              <w:rPr>
                <w:rFonts w:ascii="Arial" w:cs="Arial" w:eastAsia="Arial" w:hAnsi="Arial"/>
                <w:b/>
                <w:bCs/>
                <w:sz w:val="18"/>
                <w:szCs w:val="18"/>
              </w:rPr>
              <w:t xml:space="preserve">0%</w:t>
            </w:r>
          </w:p>
        </w:tc>
        <w:tc>
          <w:tcPr>
            <w:tcW w:type="dxa" w:w="3426"/>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Volledige huurprijs blijft verschuldigd</w:t>
            </w:r>
          </w:p>
        </w:tc>
      </w:tr>
      <w:tr>
        <w:tc>
          <w:tcPr>
            <w:tcW w:type="dxa" w:w="3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Verhuurder annuleert</w:t>
            </w:r>
          </w:p>
        </w:tc>
        <w:tc>
          <w:tcPr>
            <w:tcW w:type="dxa" w:w="24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center"/>
            </w:pPr>
            <w:r>
              <w:rPr>
                <w:rFonts w:ascii="Arial" w:cs="Arial" w:eastAsia="Arial" w:hAnsi="Arial"/>
                <w:b/>
                <w:bCs/>
                <w:sz w:val="18"/>
                <w:szCs w:val="18"/>
              </w:rPr>
              <w:t xml:space="preserve">100%</w:t>
            </w:r>
          </w:p>
        </w:tc>
        <w:tc>
          <w:tcPr>
            <w:tcW w:type="dxa" w:w="3426"/>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3e annulering = accountblokkering</w:t>
            </w:r>
          </w:p>
        </w:tc>
      </w:tr>
      <w:tr>
        <w:tc>
          <w:tcPr>
            <w:tcW w:type="dxa" w:w="3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Niet-conforme levering</w:t>
            </w:r>
          </w:p>
        </w:tc>
        <w:tc>
          <w:tcPr>
            <w:tcW w:type="dxa" w:w="24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center"/>
            </w:pPr>
            <w:r>
              <w:rPr>
                <w:rFonts w:ascii="Arial" w:cs="Arial" w:eastAsia="Arial" w:hAnsi="Arial"/>
                <w:sz w:val="18"/>
                <w:szCs w:val="18"/>
              </w:rPr>
              <w:t xml:space="preserve">100% of korting</w:t>
            </w:r>
          </w:p>
        </w:tc>
        <w:tc>
          <w:tcPr>
            <w:tcW w:type="dxa" w:w="3426"/>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Keuze Huurder: retour, korting of doorgaan</w:t>
            </w:r>
          </w:p>
        </w:tc>
      </w:tr>
      <w:tr>
        <w:tc>
          <w:tcPr>
            <w:tcW w:type="dxa" w:w="3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Transportschade</w:t>
            </w:r>
          </w:p>
        </w:tc>
        <w:tc>
          <w:tcPr>
            <w:tcW w:type="dxa" w:w="24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center"/>
            </w:pPr>
            <w:r>
              <w:rPr>
                <w:rFonts w:ascii="Arial" w:cs="Arial" w:eastAsia="Arial" w:hAnsi="Arial"/>
                <w:b/>
                <w:bCs/>
                <w:sz w:val="18"/>
                <w:szCs w:val="18"/>
              </w:rPr>
              <w:t xml:space="preserve">100%</w:t>
            </w:r>
          </w:p>
        </w:tc>
        <w:tc>
          <w:tcPr>
            <w:tcW w:type="dxa" w:w="3426"/>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Na beoordeling door mediatieteam</w:t>
            </w:r>
          </w:p>
        </w:tc>
      </w:tr>
      <w:tr>
        <w:tc>
          <w:tcPr>
            <w:tcW w:type="dxa" w:w="32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Schade door Huurder</w:t>
            </w:r>
          </w:p>
        </w:tc>
        <w:tc>
          <w:tcPr>
            <w:tcW w:type="dxa" w:w="24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center"/>
            </w:pPr>
            <w:r>
              <w:rPr>
                <w:rFonts w:ascii="Arial" w:cs="Arial" w:eastAsia="Arial" w:hAnsi="Arial"/>
                <w:b/>
                <w:bCs/>
                <w:sz w:val="18"/>
                <w:szCs w:val="18"/>
              </w:rPr>
              <w:t xml:space="preserve">0%</w:t>
            </w:r>
          </w:p>
        </w:tc>
        <w:tc>
          <w:tcPr>
            <w:tcW w:type="dxa" w:w="3426"/>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tcPr>
          <w:p>
            <w:pPr>
              <w:jc w:val="left"/>
            </w:pPr>
            <w:r>
              <w:rPr>
                <w:rFonts w:ascii="Arial" w:cs="Arial" w:eastAsia="Arial" w:hAnsi="Arial"/>
                <w:sz w:val="18"/>
                <w:szCs w:val="18"/>
              </w:rPr>
              <w:t xml:space="preserve">Huurder aansprakelijk voor kosten</w:t>
            </w:r>
          </w:p>
        </w:tc>
      </w:tr>
      <w:tr>
        <w:tc>
          <w:tcPr>
            <w:tcW w:type="dxa" w:w="3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Overmacht</w:t>
            </w:r>
          </w:p>
        </w:tc>
        <w:tc>
          <w:tcPr>
            <w:tcW w:type="dxa" w:w="24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center"/>
            </w:pPr>
            <w:r>
              <w:rPr>
                <w:rFonts w:ascii="Arial" w:cs="Arial" w:eastAsia="Arial" w:hAnsi="Arial"/>
                <w:b/>
                <w:bCs/>
                <w:sz w:val="18"/>
                <w:szCs w:val="18"/>
              </w:rPr>
              <w:t xml:space="preserve">100%</w:t>
            </w:r>
          </w:p>
        </w:tc>
        <w:tc>
          <w:tcPr>
            <w:tcW w:type="dxa" w:w="3426"/>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jc w:val="left"/>
            </w:pPr>
            <w:r>
              <w:rPr>
                <w:rFonts w:ascii="Arial" w:cs="Arial" w:eastAsia="Arial" w:hAnsi="Arial"/>
                <w:sz w:val="18"/>
                <w:szCs w:val="18"/>
              </w:rPr>
              <w:t xml:space="preserve">Telt niet mee als annulering</w:t>
            </w:r>
          </w:p>
        </w:tc>
      </w:tr>
    </w:tbl>
    <w:p>
      <w:pPr>
        <w:spacing w:after="160"/>
      </w:pPr>
    </w:p>
    <w:p>
      <w:pPr>
        <w:pStyle w:val="Heading1"/>
      </w:pPr>
      <w:r>
        <w:rPr>
          <w:rFonts w:ascii="Arial" w:cs="Arial" w:eastAsia="Arial" w:hAnsi="Arial"/>
        </w:rPr>
        <w:t xml:space="preserve">Contact</w:t>
      </w:r>
    </w:p>
    <w:p>
      <w:pPr>
        <w:spacing w:after="120"/>
      </w:pPr>
      <w:r>
        <w:rPr>
          <w:rFonts w:ascii="Arial" w:cs="Arial" w:eastAsia="Arial" w:hAnsi="Arial"/>
          <w:sz w:val="20"/>
          <w:szCs w:val="20"/>
        </w:rPr>
        <w:t xml:space="preserve">Heeft u vragen over dit beleid? Neem contact met ons op:</w:t>
      </w:r>
    </w:p>
    <w:p>
      <w:pPr>
        <w:spacing w:after="120"/>
      </w:pPr>
      <w:r>
        <w:rPr>
          <w:rFonts w:ascii="Arial" w:cs="Arial" w:eastAsia="Arial" w:hAnsi="Arial"/>
          <w:sz w:val="20"/>
          <w:szCs w:val="20"/>
        </w:rPr>
        <w:t xml:space="preserve">E-mail: support@huurall.nl</w:t>
      </w:r>
    </w:p>
    <w:p>
      <w:pPr>
        <w:spacing w:after="120"/>
      </w:pPr>
      <w:r>
        <w:rPr>
          <w:rFonts w:ascii="Arial" w:cs="Arial" w:eastAsia="Arial" w:hAnsi="Arial"/>
          <w:sz w:val="20"/>
          <w:szCs w:val="20"/>
        </w:rPr>
        <w:t xml:space="preserve">Website: www.huurall.nl</w:t>
      </w:r>
    </w:p>
    <w:p>
      <w:pPr>
        <w:spacing w:before="400"/>
        <w:jc w:val="center"/>
      </w:pPr>
      <w:r>
        <w:rPr>
          <w:rFonts w:ascii="Arial" w:cs="Arial" w:eastAsia="Arial" w:hAnsi="Arial"/>
          <w:i/>
          <w:iCs/>
          <w:color w:val="999999"/>
          <w:sz w:val="20"/>
          <w:szCs w:val="20"/>
        </w:rPr>
        <w:t xml:space="preserve">— Einde Annulerings- en Restitutiebeleid / End of Cancellation and Refund Policy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999999"/>
        <w:sz w:val="16"/>
        <w:szCs w:val="16"/>
      </w:rPr>
      <w:t xml:space="preserve">HuurAll B.V. — Pagina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4"/>
        <w:szCs w:val="14"/>
      </w:rPr>
      <w:t xml:space="preserve">HuurAll — Annulerings- en Restitutiebeleid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1856B8"/>
      <w:sz w:val="32"/>
      <w:szCs w:val="32"/>
    </w:rPr>
  </w:style>
  <w:style w:type="paragraph" w:styleId="Heading2">
    <w:name w:val="Heading 2"/>
    <w:basedOn w:val="Normal"/>
    <w:next w:val="Normal"/>
    <w:qFormat/>
    <w:pPr>
      <w:spacing w:before="200" w:after="120"/>
      <w:outlineLvl w:val="1"/>
    </w:pPr>
    <w:rPr>
      <w:rFonts w:ascii="Arial" w:cs="Arial" w:eastAsia="Arial" w:hAnsi="Arial"/>
      <w:b/>
      <w:bCs/>
      <w:color w:val="E865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2026-03-30T20:27:46.572Z</dcterms:created>
  <dcterms:modified xsi:type="dcterms:W3CDTF">2026-03-30T20:27:46.573Z</dcterms:modified>
</cp:coreProperties>
</file>

<file path=docProps/custom.xml><?xml version="1.0" encoding="utf-8"?>
<Properties xmlns="http://schemas.openxmlformats.org/officeDocument/2006/custom-properties" xmlns:vt="http://schemas.openxmlformats.org/officeDocument/2006/docPropsVTypes"/>
</file>